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7F196" w14:textId="77777777" w:rsidR="00201B19" w:rsidRPr="001339CA" w:rsidRDefault="001339CA">
      <w:pPr>
        <w:rPr>
          <w:rFonts w:ascii="Helvetica Neue UltraLight" w:hAnsi="Helvetica Neue UltraLight" w:cs="Times New Roman"/>
          <w:sz w:val="32"/>
        </w:rPr>
      </w:pPr>
      <w:r w:rsidRPr="001339CA">
        <w:rPr>
          <w:rFonts w:ascii="Helvetica Neue UltraLight" w:hAnsi="Helvetica Neue UltraLight" w:cs="Times New Roman"/>
          <w:sz w:val="32"/>
        </w:rPr>
        <w:t>IMAGERY IN LITERATURE</w:t>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Times New Roman" w:hAnsi="Times New Roman" w:cs="Times New Roman"/>
        </w:rPr>
        <w:t>Name:</w:t>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r>
        <w:rPr>
          <w:rFonts w:ascii="Helvetica Neue UltraLight" w:hAnsi="Helvetica Neue UltraLight" w:cs="Times New Roman"/>
          <w:sz w:val="32"/>
        </w:rPr>
        <w:tab/>
      </w:r>
    </w:p>
    <w:p w14:paraId="52ABF483" w14:textId="77777777" w:rsidR="001339CA" w:rsidRPr="001339CA" w:rsidRDefault="001339CA">
      <w:pPr>
        <w:rPr>
          <w:rFonts w:ascii="Times New Roman" w:hAnsi="Times New Roman" w:cs="Times New Roman"/>
          <w:b/>
        </w:rPr>
      </w:pPr>
    </w:p>
    <w:tbl>
      <w:tblPr>
        <w:tblStyle w:val="TableGrid"/>
        <w:tblW w:w="0" w:type="auto"/>
        <w:tblLook w:val="04A0" w:firstRow="1" w:lastRow="0" w:firstColumn="1" w:lastColumn="0" w:noHBand="0" w:noVBand="1"/>
      </w:tblPr>
      <w:tblGrid>
        <w:gridCol w:w="7308"/>
        <w:gridCol w:w="2070"/>
        <w:gridCol w:w="5238"/>
      </w:tblGrid>
      <w:tr w:rsidR="001339CA" w:rsidRPr="001339CA" w14:paraId="379426C2" w14:textId="77777777" w:rsidTr="004C7F0C">
        <w:tc>
          <w:tcPr>
            <w:tcW w:w="7308" w:type="dxa"/>
            <w:shd w:val="clear" w:color="auto" w:fill="E6E6E6"/>
            <w:vAlign w:val="center"/>
          </w:tcPr>
          <w:p w14:paraId="29D02A85" w14:textId="77777777" w:rsidR="001339CA" w:rsidRPr="004C7F0C" w:rsidRDefault="001339CA" w:rsidP="004C7F0C">
            <w:pPr>
              <w:jc w:val="center"/>
              <w:rPr>
                <w:rFonts w:ascii="Helvetica Neue" w:hAnsi="Helvetica Neue" w:cs="Times New Roman"/>
                <w:b/>
                <w:sz w:val="22"/>
                <w:szCs w:val="22"/>
              </w:rPr>
            </w:pPr>
            <w:r w:rsidRPr="004C7F0C">
              <w:rPr>
                <w:rFonts w:ascii="Helvetica Neue" w:hAnsi="Helvetica Neue" w:cs="Times New Roman"/>
                <w:b/>
                <w:sz w:val="22"/>
                <w:szCs w:val="22"/>
              </w:rPr>
              <w:t xml:space="preserve">PASSAGE. </w:t>
            </w:r>
            <w:r w:rsidRPr="004C7F0C">
              <w:rPr>
                <w:rFonts w:ascii="Helvetica Neue" w:hAnsi="Helvetica Neue" w:cs="Times New Roman"/>
                <w:sz w:val="22"/>
                <w:szCs w:val="22"/>
              </w:rPr>
              <w:t>Underline</w:t>
            </w:r>
            <w:r w:rsidR="004C7F0C">
              <w:rPr>
                <w:rFonts w:ascii="Helvetica Neue" w:hAnsi="Helvetica Neue" w:cs="Times New Roman"/>
                <w:sz w:val="22"/>
                <w:szCs w:val="22"/>
              </w:rPr>
              <w:t>/highlight</w:t>
            </w:r>
            <w:bookmarkStart w:id="0" w:name="_GoBack"/>
            <w:bookmarkEnd w:id="0"/>
            <w:r w:rsidRPr="004C7F0C">
              <w:rPr>
                <w:rFonts w:ascii="Helvetica Neue" w:hAnsi="Helvetica Neue" w:cs="Times New Roman"/>
                <w:sz w:val="22"/>
                <w:szCs w:val="22"/>
              </w:rPr>
              <w:t xml:space="preserve"> all </w:t>
            </w:r>
            <w:r w:rsidRPr="004C7F0C">
              <w:rPr>
                <w:rFonts w:ascii="Helvetica Neue" w:hAnsi="Helvetica Neue" w:cs="Times New Roman"/>
                <w:b/>
                <w:sz w:val="22"/>
                <w:szCs w:val="22"/>
              </w:rPr>
              <w:t>imagery</w:t>
            </w:r>
            <w:r w:rsidRPr="004C7F0C">
              <w:rPr>
                <w:rFonts w:ascii="Helvetica Neue" w:hAnsi="Helvetica Neue" w:cs="Times New Roman"/>
                <w:sz w:val="22"/>
                <w:szCs w:val="22"/>
              </w:rPr>
              <w:t xml:space="preserve"> in the passage.</w:t>
            </w:r>
          </w:p>
        </w:tc>
        <w:tc>
          <w:tcPr>
            <w:tcW w:w="2070" w:type="dxa"/>
            <w:shd w:val="clear" w:color="auto" w:fill="E6E6E6"/>
            <w:vAlign w:val="center"/>
          </w:tcPr>
          <w:p w14:paraId="31FBFD7E" w14:textId="77777777" w:rsidR="001339CA" w:rsidRPr="004C7F0C" w:rsidRDefault="001339CA" w:rsidP="004C7F0C">
            <w:pPr>
              <w:rPr>
                <w:rFonts w:ascii="Helvetica Neue" w:hAnsi="Helvetica Neue" w:cs="Times New Roman"/>
                <w:b/>
                <w:sz w:val="22"/>
                <w:szCs w:val="22"/>
              </w:rPr>
            </w:pPr>
            <w:r w:rsidRPr="004C7F0C">
              <w:rPr>
                <w:rFonts w:ascii="Helvetica Neue" w:hAnsi="Helvetica Neue" w:cs="Times New Roman"/>
                <w:b/>
                <w:sz w:val="22"/>
                <w:szCs w:val="22"/>
              </w:rPr>
              <w:t xml:space="preserve">SENSES.  </w:t>
            </w:r>
            <w:r w:rsidRPr="004C7F0C">
              <w:rPr>
                <w:rFonts w:ascii="Helvetica Neue" w:hAnsi="Helvetica Neue" w:cs="Times New Roman"/>
                <w:sz w:val="22"/>
                <w:szCs w:val="22"/>
              </w:rPr>
              <w:t xml:space="preserve">To what </w:t>
            </w:r>
            <w:r w:rsidRPr="004C7F0C">
              <w:rPr>
                <w:rFonts w:ascii="Helvetica Neue" w:hAnsi="Helvetica Neue" w:cs="Times New Roman"/>
                <w:b/>
                <w:sz w:val="22"/>
                <w:szCs w:val="22"/>
              </w:rPr>
              <w:t xml:space="preserve">sense(s) </w:t>
            </w:r>
            <w:r w:rsidRPr="004C7F0C">
              <w:rPr>
                <w:rFonts w:ascii="Helvetica Neue" w:hAnsi="Helvetica Neue" w:cs="Times New Roman"/>
                <w:sz w:val="22"/>
                <w:szCs w:val="22"/>
              </w:rPr>
              <w:t>does the imagery appeal?</w:t>
            </w:r>
          </w:p>
        </w:tc>
        <w:tc>
          <w:tcPr>
            <w:tcW w:w="5238" w:type="dxa"/>
            <w:shd w:val="clear" w:color="auto" w:fill="E6E6E6"/>
            <w:vAlign w:val="center"/>
          </w:tcPr>
          <w:p w14:paraId="2B38A810" w14:textId="77777777" w:rsidR="001339CA" w:rsidRPr="004C7F0C" w:rsidRDefault="001339CA" w:rsidP="004C7F0C">
            <w:pPr>
              <w:rPr>
                <w:rFonts w:ascii="Helvetica Neue" w:hAnsi="Helvetica Neue" w:cs="Times New Roman"/>
                <w:b/>
                <w:sz w:val="22"/>
                <w:szCs w:val="22"/>
              </w:rPr>
            </w:pPr>
            <w:r w:rsidRPr="004C7F0C">
              <w:rPr>
                <w:rFonts w:ascii="Helvetica Neue" w:hAnsi="Helvetica Neue" w:cs="Times New Roman"/>
                <w:sz w:val="22"/>
                <w:szCs w:val="22"/>
              </w:rPr>
              <w:t xml:space="preserve">What is the </w:t>
            </w:r>
            <w:r w:rsidRPr="004C7F0C">
              <w:rPr>
                <w:rFonts w:ascii="Helvetica Neue" w:hAnsi="Helvetica Neue" w:cs="Times New Roman"/>
                <w:b/>
                <w:sz w:val="22"/>
                <w:szCs w:val="22"/>
              </w:rPr>
              <w:t>connotation</w:t>
            </w:r>
            <w:r w:rsidRPr="004C7F0C">
              <w:rPr>
                <w:rFonts w:ascii="Helvetica Neue" w:hAnsi="Helvetica Neue" w:cs="Times New Roman"/>
                <w:sz w:val="22"/>
                <w:szCs w:val="22"/>
              </w:rPr>
              <w:t xml:space="preserve"> of the imagery?  What do </w:t>
            </w:r>
            <w:r w:rsidRPr="004C7F0C">
              <w:rPr>
                <w:rFonts w:ascii="Helvetica Neue" w:hAnsi="Helvetica Neue" w:cs="Times New Roman"/>
                <w:b/>
                <w:sz w:val="22"/>
                <w:szCs w:val="22"/>
              </w:rPr>
              <w:t>these particular words</w:t>
            </w:r>
            <w:r w:rsidRPr="004C7F0C">
              <w:rPr>
                <w:rFonts w:ascii="Helvetica Neue" w:hAnsi="Helvetica Neue" w:cs="Times New Roman"/>
                <w:sz w:val="22"/>
                <w:szCs w:val="22"/>
              </w:rPr>
              <w:t xml:space="preserve"> suggest about the thing they’re describing?</w:t>
            </w:r>
          </w:p>
        </w:tc>
      </w:tr>
      <w:tr w:rsidR="001339CA" w:rsidRPr="001339CA" w14:paraId="3BC5AC0D" w14:textId="77777777" w:rsidTr="001339CA">
        <w:tc>
          <w:tcPr>
            <w:tcW w:w="7308" w:type="dxa"/>
          </w:tcPr>
          <w:p w14:paraId="499FBC1D" w14:textId="77777777" w:rsidR="001339CA" w:rsidRPr="001339CA" w:rsidRDefault="001339CA">
            <w:pPr>
              <w:rPr>
                <w:rFonts w:ascii="Times New Roman" w:hAnsi="Times New Roman" w:cs="Times New Roman"/>
              </w:rPr>
            </w:pPr>
            <w:r w:rsidRPr="001339CA">
              <w:rPr>
                <w:rFonts w:ascii="Times New Roman" w:hAnsi="Times New Roman" w:cs="Times New Roman"/>
              </w:rPr>
              <w:t>“I sometimes find, and I am sure you know the feeling, that I simply have too many thoughts and memories crammed into my mind.  At these times, I use the Pensieve.  One simply siphons the excess thoughts from one’s mind, pours them into the basin, and examines them at one’s leisure” (from Harry Potter and the Goblet of Fire by J.K. Rowling).</w:t>
            </w:r>
          </w:p>
        </w:tc>
        <w:tc>
          <w:tcPr>
            <w:tcW w:w="2070" w:type="dxa"/>
          </w:tcPr>
          <w:p w14:paraId="100083FF" w14:textId="77777777" w:rsidR="001339CA" w:rsidRPr="001339CA" w:rsidRDefault="001339CA">
            <w:pPr>
              <w:rPr>
                <w:rFonts w:ascii="Times New Roman" w:hAnsi="Times New Roman" w:cs="Times New Roman"/>
                <w:b/>
              </w:rPr>
            </w:pPr>
          </w:p>
        </w:tc>
        <w:tc>
          <w:tcPr>
            <w:tcW w:w="5238" w:type="dxa"/>
          </w:tcPr>
          <w:p w14:paraId="7ED490D8" w14:textId="77777777" w:rsidR="001339CA" w:rsidRPr="001339CA" w:rsidRDefault="001339CA">
            <w:pPr>
              <w:rPr>
                <w:rFonts w:ascii="Times New Roman" w:hAnsi="Times New Roman" w:cs="Times New Roman"/>
                <w:b/>
              </w:rPr>
            </w:pPr>
          </w:p>
        </w:tc>
      </w:tr>
      <w:tr w:rsidR="001339CA" w:rsidRPr="001339CA" w14:paraId="5981AB34" w14:textId="77777777" w:rsidTr="001339CA">
        <w:tc>
          <w:tcPr>
            <w:tcW w:w="7308" w:type="dxa"/>
          </w:tcPr>
          <w:p w14:paraId="296632AF" w14:textId="77777777" w:rsidR="001339CA" w:rsidRPr="001339CA" w:rsidRDefault="001339C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The same way a compact disk isn’t responsible for what’s recorded on it, that’s how we are.  You’re about as free to act as a programmed computer.  You’re about as one-of-a-kind as a dollar bill” (from </w:t>
            </w:r>
            <w:r>
              <w:rPr>
                <w:rFonts w:ascii="Times New Roman" w:hAnsi="Times New Roman" w:cs="Times New Roman"/>
                <w:i/>
              </w:rPr>
              <w:t>Invisible Monsters</w:t>
            </w:r>
            <w:r>
              <w:rPr>
                <w:rFonts w:ascii="Times New Roman" w:hAnsi="Times New Roman" w:cs="Times New Roman"/>
              </w:rPr>
              <w:t xml:space="preserve"> by Chuck Palahniuk).</w:t>
            </w:r>
          </w:p>
        </w:tc>
        <w:tc>
          <w:tcPr>
            <w:tcW w:w="2070" w:type="dxa"/>
          </w:tcPr>
          <w:p w14:paraId="50B333BF" w14:textId="77777777" w:rsidR="001339CA" w:rsidRPr="001339CA" w:rsidRDefault="001339CA">
            <w:pPr>
              <w:rPr>
                <w:rFonts w:ascii="Times New Roman" w:hAnsi="Times New Roman" w:cs="Times New Roman"/>
                <w:b/>
              </w:rPr>
            </w:pPr>
          </w:p>
        </w:tc>
        <w:tc>
          <w:tcPr>
            <w:tcW w:w="5238" w:type="dxa"/>
          </w:tcPr>
          <w:p w14:paraId="05D50DDE" w14:textId="77777777" w:rsidR="001339CA" w:rsidRPr="001339CA" w:rsidRDefault="001339CA">
            <w:pPr>
              <w:rPr>
                <w:rFonts w:ascii="Times New Roman" w:hAnsi="Times New Roman" w:cs="Times New Roman"/>
                <w:b/>
              </w:rPr>
            </w:pPr>
          </w:p>
        </w:tc>
      </w:tr>
      <w:tr w:rsidR="001339CA" w:rsidRPr="001339CA" w14:paraId="09D753AD" w14:textId="77777777" w:rsidTr="001339CA">
        <w:tc>
          <w:tcPr>
            <w:tcW w:w="7308" w:type="dxa"/>
          </w:tcPr>
          <w:p w14:paraId="5E91D483" w14:textId="77777777" w:rsidR="001339CA" w:rsidRDefault="001339CA">
            <w:pPr>
              <w:rPr>
                <w:rFonts w:ascii="Times New Roman" w:hAnsi="Times New Roman" w:cs="Times New Roman"/>
              </w:rPr>
            </w:pPr>
            <w:r>
              <w:rPr>
                <w:rFonts w:ascii="Times New Roman" w:hAnsi="Times New Roman" w:cs="Times New Roman"/>
              </w:rPr>
              <w:t>“</w:t>
            </w:r>
            <w:r w:rsidRPr="001339CA">
              <w:rPr>
                <w:rFonts w:ascii="Times New Roman" w:hAnsi="Times New Roman" w:cs="Times New Roman"/>
              </w:rPr>
              <w:t>…what foul dust floated in the wake of his dreams that temporarily closed out my interest in the abortive sorrows and short-winded elations of men” (from The Great Gatsby by F. Scott Fitzgerald).</w:t>
            </w:r>
          </w:p>
        </w:tc>
        <w:tc>
          <w:tcPr>
            <w:tcW w:w="2070" w:type="dxa"/>
          </w:tcPr>
          <w:p w14:paraId="1B9291A4" w14:textId="77777777" w:rsidR="001339CA" w:rsidRPr="001339CA" w:rsidRDefault="001339CA">
            <w:pPr>
              <w:rPr>
                <w:rFonts w:ascii="Times New Roman" w:hAnsi="Times New Roman" w:cs="Times New Roman"/>
                <w:b/>
              </w:rPr>
            </w:pPr>
          </w:p>
        </w:tc>
        <w:tc>
          <w:tcPr>
            <w:tcW w:w="5238" w:type="dxa"/>
          </w:tcPr>
          <w:p w14:paraId="60E9F134" w14:textId="77777777" w:rsidR="001339CA" w:rsidRPr="001339CA" w:rsidRDefault="001339CA">
            <w:pPr>
              <w:rPr>
                <w:rFonts w:ascii="Times New Roman" w:hAnsi="Times New Roman" w:cs="Times New Roman"/>
                <w:b/>
              </w:rPr>
            </w:pPr>
          </w:p>
        </w:tc>
      </w:tr>
      <w:tr w:rsidR="001339CA" w:rsidRPr="001339CA" w14:paraId="15833F86" w14:textId="77777777" w:rsidTr="001339CA">
        <w:tc>
          <w:tcPr>
            <w:tcW w:w="7308" w:type="dxa"/>
          </w:tcPr>
          <w:p w14:paraId="24B1CA06" w14:textId="77777777" w:rsidR="001339CA" w:rsidRDefault="001339C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To me the front is a mysterious whirlpool.  Though I am in still water far away from its center, I feel the whirl of the vortex sucking me slowly, irresistibly, inescapably into itself” (from </w:t>
            </w:r>
            <w:r>
              <w:rPr>
                <w:rFonts w:ascii="Times New Roman" w:hAnsi="Times New Roman" w:cs="Times New Roman"/>
                <w:i/>
              </w:rPr>
              <w:t>All Quiet on the Western Front</w:t>
            </w:r>
            <w:r>
              <w:rPr>
                <w:rFonts w:ascii="Times New Roman" w:hAnsi="Times New Roman" w:cs="Times New Roman"/>
              </w:rPr>
              <w:t xml:space="preserve">).  </w:t>
            </w:r>
          </w:p>
        </w:tc>
        <w:tc>
          <w:tcPr>
            <w:tcW w:w="2070" w:type="dxa"/>
          </w:tcPr>
          <w:p w14:paraId="53A0082B" w14:textId="77777777" w:rsidR="001339CA" w:rsidRPr="001339CA" w:rsidRDefault="001339CA">
            <w:pPr>
              <w:rPr>
                <w:rFonts w:ascii="Times New Roman" w:hAnsi="Times New Roman" w:cs="Times New Roman"/>
                <w:b/>
              </w:rPr>
            </w:pPr>
          </w:p>
        </w:tc>
        <w:tc>
          <w:tcPr>
            <w:tcW w:w="5238" w:type="dxa"/>
          </w:tcPr>
          <w:p w14:paraId="3D66381B" w14:textId="77777777" w:rsidR="001339CA" w:rsidRPr="001339CA" w:rsidRDefault="001339CA">
            <w:pPr>
              <w:rPr>
                <w:rFonts w:ascii="Times New Roman" w:hAnsi="Times New Roman" w:cs="Times New Roman"/>
                <w:b/>
              </w:rPr>
            </w:pPr>
          </w:p>
        </w:tc>
      </w:tr>
      <w:tr w:rsidR="001339CA" w:rsidRPr="001339CA" w14:paraId="3BBC7572" w14:textId="77777777" w:rsidTr="001339CA">
        <w:tc>
          <w:tcPr>
            <w:tcW w:w="7308" w:type="dxa"/>
          </w:tcPr>
          <w:p w14:paraId="6728B7BE" w14:textId="77777777" w:rsidR="001339CA" w:rsidRDefault="001339C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They had walked in single file down the path, and even in the open one stayed behind the other.  Both were dressed in denim trousers and in denim coats with brass buttons.  Both wore black, shapeless hats and both carried tight blanket rolls slung over their shoulders” (from </w:t>
            </w:r>
            <w:r>
              <w:rPr>
                <w:rFonts w:ascii="Times New Roman" w:hAnsi="Times New Roman" w:cs="Times New Roman"/>
                <w:i/>
              </w:rPr>
              <w:t>Of Mice and Men</w:t>
            </w:r>
            <w:r>
              <w:rPr>
                <w:rFonts w:ascii="Times New Roman" w:hAnsi="Times New Roman" w:cs="Times New Roman"/>
              </w:rPr>
              <w:t xml:space="preserve"> by John Steinbeck).</w:t>
            </w:r>
          </w:p>
        </w:tc>
        <w:tc>
          <w:tcPr>
            <w:tcW w:w="2070" w:type="dxa"/>
          </w:tcPr>
          <w:p w14:paraId="201DD97B" w14:textId="77777777" w:rsidR="001339CA" w:rsidRPr="001339CA" w:rsidRDefault="001339CA">
            <w:pPr>
              <w:rPr>
                <w:rFonts w:ascii="Times New Roman" w:hAnsi="Times New Roman" w:cs="Times New Roman"/>
                <w:b/>
              </w:rPr>
            </w:pPr>
          </w:p>
        </w:tc>
        <w:tc>
          <w:tcPr>
            <w:tcW w:w="5238" w:type="dxa"/>
          </w:tcPr>
          <w:p w14:paraId="342CF4EA" w14:textId="77777777" w:rsidR="001339CA" w:rsidRPr="001339CA" w:rsidRDefault="001339CA">
            <w:pPr>
              <w:rPr>
                <w:rFonts w:ascii="Times New Roman" w:hAnsi="Times New Roman" w:cs="Times New Roman"/>
                <w:b/>
              </w:rPr>
            </w:pPr>
          </w:p>
        </w:tc>
      </w:tr>
      <w:tr w:rsidR="001339CA" w:rsidRPr="001339CA" w14:paraId="1B610AC5" w14:textId="77777777" w:rsidTr="001339CA">
        <w:tc>
          <w:tcPr>
            <w:tcW w:w="7308" w:type="dxa"/>
          </w:tcPr>
          <w:p w14:paraId="47F27858" w14:textId="77777777" w:rsidR="001339CA" w:rsidRDefault="001339CA">
            <w:pPr>
              <w:rPr>
                <w:rFonts w:ascii="Times New Roman" w:hAnsi="Times New Roman" w:cs="Times New Roman"/>
              </w:rPr>
            </w:pPr>
            <w:r>
              <w:rPr>
                <w:rFonts w:ascii="Times New Roman" w:hAnsi="Times New Roman" w:cs="Times New Roman"/>
              </w:rPr>
              <w:t>“</w:t>
            </w:r>
            <w:r w:rsidRPr="00862AE7">
              <w:rPr>
                <w:rFonts w:ascii="Times New Roman" w:hAnsi="Times New Roman" w:cs="Times New Roman"/>
              </w:rPr>
              <w:t>Perhaps it's true that things can change in a day. That a few dozen hours can affect the outcome of whole lifetimes. And that when they do, those few dozen hours, like the salvaged remains of a burned house---the charred clock, the singed photograph, the scorched furniture---must be resurrected from the ruins and examined. Preserved. Accounted for. Little events, ordinary things, smashed and reconstitutred. Imbued with new meaning. Suddenly they become the bleached bones of a</w:t>
            </w:r>
            <w:r>
              <w:rPr>
                <w:rFonts w:ascii="Times New Roman" w:hAnsi="Times New Roman" w:cs="Times New Roman"/>
              </w:rPr>
              <w:t xml:space="preserve"> story” (from </w:t>
            </w:r>
            <w:r>
              <w:rPr>
                <w:rFonts w:ascii="Times New Roman" w:hAnsi="Times New Roman" w:cs="Times New Roman"/>
                <w:i/>
              </w:rPr>
              <w:t>The God of Small Things</w:t>
            </w:r>
            <w:r>
              <w:rPr>
                <w:rFonts w:ascii="Times New Roman" w:hAnsi="Times New Roman" w:cs="Times New Roman"/>
              </w:rPr>
              <w:t xml:space="preserve"> by Arundhati Roy).</w:t>
            </w:r>
          </w:p>
        </w:tc>
        <w:tc>
          <w:tcPr>
            <w:tcW w:w="2070" w:type="dxa"/>
          </w:tcPr>
          <w:p w14:paraId="3BFFB152" w14:textId="77777777" w:rsidR="001339CA" w:rsidRPr="001339CA" w:rsidRDefault="001339CA">
            <w:pPr>
              <w:rPr>
                <w:rFonts w:ascii="Times New Roman" w:hAnsi="Times New Roman" w:cs="Times New Roman"/>
                <w:b/>
              </w:rPr>
            </w:pPr>
          </w:p>
        </w:tc>
        <w:tc>
          <w:tcPr>
            <w:tcW w:w="5238" w:type="dxa"/>
          </w:tcPr>
          <w:p w14:paraId="5B425919" w14:textId="77777777" w:rsidR="001339CA" w:rsidRPr="001339CA" w:rsidRDefault="001339CA">
            <w:pPr>
              <w:rPr>
                <w:rFonts w:ascii="Times New Roman" w:hAnsi="Times New Roman" w:cs="Times New Roman"/>
                <w:b/>
              </w:rPr>
            </w:pPr>
          </w:p>
        </w:tc>
      </w:tr>
    </w:tbl>
    <w:p w14:paraId="74E6F69D" w14:textId="77777777" w:rsidR="001339CA" w:rsidRPr="001339CA" w:rsidRDefault="001339CA">
      <w:pPr>
        <w:rPr>
          <w:rFonts w:ascii="Times New Roman" w:hAnsi="Times New Roman" w:cs="Times New Roman"/>
          <w:b/>
        </w:rPr>
      </w:pPr>
    </w:p>
    <w:sectPr w:rsidR="001339CA" w:rsidRPr="001339CA" w:rsidSect="001339CA">
      <w:pgSz w:w="15840" w:h="12240" w:orient="landscape"/>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UltraLight">
    <w:panose1 w:val="0200020600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CA"/>
    <w:rsid w:val="0009400B"/>
    <w:rsid w:val="001339CA"/>
    <w:rsid w:val="00201B19"/>
    <w:rsid w:val="004C7F0C"/>
    <w:rsid w:val="00A13D30"/>
    <w:rsid w:val="00D4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AD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0B18-4B94-5E40-A55A-60615575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1830</Characters>
  <Application>Microsoft Macintosh Word</Application>
  <DocSecurity>0</DocSecurity>
  <Lines>15</Lines>
  <Paragraphs>4</Paragraphs>
  <ScaleCrop>false</ScaleCrop>
  <Company>Strath Haven High School</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2</cp:revision>
  <dcterms:created xsi:type="dcterms:W3CDTF">2011-04-11T23:14:00Z</dcterms:created>
  <dcterms:modified xsi:type="dcterms:W3CDTF">2011-04-11T23:22:00Z</dcterms:modified>
</cp:coreProperties>
</file>